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9524"/>
      </w:tblGrid>
      <w:tr w:rsidR="004C6F70" w:rsidRPr="005D42CE" w14:paraId="65E8DFDA" w14:textId="77777777" w:rsidTr="009D168D">
        <w:trPr>
          <w:trHeight w:val="1143"/>
        </w:trPr>
        <w:tc>
          <w:tcPr>
            <w:tcW w:w="9524" w:type="dxa"/>
          </w:tcPr>
          <w:p w14:paraId="706ECE2F" w14:textId="77777777" w:rsidR="004C6F70" w:rsidRDefault="004C6F70" w:rsidP="009D168D">
            <w:pPr>
              <w:pStyle w:val="SDGtoptable"/>
              <w:jc w:val="center"/>
              <w:rPr>
                <w:rFonts w:asciiTheme="minorHAnsi" w:hAnsiTheme="minorHAnsi"/>
              </w:rPr>
            </w:pPr>
            <w:bookmarkStart w:id="0" w:name="_Hlk153279581"/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DA444A0" wp14:editId="21E99A40">
                  <wp:simplePos x="0" y="0"/>
                  <wp:positionH relativeFrom="column">
                    <wp:posOffset>1729105</wp:posOffset>
                  </wp:positionH>
                  <wp:positionV relativeFrom="paragraph">
                    <wp:posOffset>0</wp:posOffset>
                  </wp:positionV>
                  <wp:extent cx="2542540" cy="725170"/>
                  <wp:effectExtent l="0" t="0" r="0" b="0"/>
                  <wp:wrapSquare wrapText="bothSides"/>
                  <wp:docPr id="3705211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0"/>
    <w:p w14:paraId="31E094EC" w14:textId="77777777" w:rsidR="004C6F70" w:rsidRPr="005D42CE" w:rsidRDefault="004C6F70" w:rsidP="004C6F70">
      <w:pPr>
        <w:pStyle w:val="Rulespace"/>
      </w:pPr>
      <w:r w:rsidRPr="005D42CE">
        <w:rPr>
          <w:noProof/>
        </w:rPr>
        <mc:AlternateContent>
          <mc:Choice Requires="wps">
            <w:drawing>
              <wp:inline distT="0" distB="0" distL="0" distR="0" wp14:anchorId="19CF40ED" wp14:editId="3EFA7600">
                <wp:extent cx="360000" cy="0"/>
                <wp:effectExtent l="0" t="19050" r="40640" b="3810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215138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rgwAEAAN4DAAAOAAAAZHJzL2Uyb0RvYy54bWysU8tu2zAQvBfoPxC815JjJGkEy0GRIL0U&#10;bdCkH0BTS4sAX+Aylvz3XVK2HLQBihbVgRK5O7M7w9X6drSG7SGi9q7ly0XNGTjpO+12Lf/x/PDh&#10;I2eYhOuE8Q5afgDkt5v379ZDaODC9950EBmROGyG0PI+pdBUFcoerMCFD+AoqHy0ItE27qouioHY&#10;raku6vqqGnzsQvQSEOn0fgryTeFXCmT6phRCYqbl1FsqayzrNq/VZi2aXRSh1/LYhviHLqzQjorO&#10;VPciCfYS9W9UVsvo0au0kN5WXiktoWggNcv6FzVPvQhQtJA5GGab8P/Ryq/7O/cYyYYhYIPhMWYV&#10;o4o2v6k/NhazDrNZMCYm6XB1VdPDmTyFqjMuREyfwVuWP1putMsyRCP2XzBRLUo9peRj49jQ8svV&#10;zfVlSUNvdPegjclBjLvtnYlsL+gKr+tV/ancGlG8SqOdccR7FlG+0sHAVOA7KKY7ans5VcjzBTOt&#10;kBJcWuZpKEyUnWGKWpiB9Z+Bx/wMhTJ7fwOeEaWyd2kGW+18fKt6Gk8tqyn/5MCkO1uw9d2hXG+x&#10;hoaoKDwOfJ7S1/sCP/+Wm58AAAD//wMAUEsDBBQABgAIAAAAIQB+4AFC2AAAAAEBAAAPAAAAZHJz&#10;L2Rvd25yZXYueG1sTI9BSwMxEIXvgv8hjODNZhWssm62qFAQ9GIrBW+zyXR3azLZJml3/femXvTy&#10;4PGG976pFpOz4kgh9p4VXM8KEMTam55bBR/r5dU9iJiQDVrPpOCbIizq87MKS+NHfqfjKrUil3As&#10;UUGX0lBKGXVHDuPMD8Q52/rgMGUbWmkCjrncWXlTFHPpsOe80OFAzx3pr9XBKQibNz0uP1+ebNP1&#10;+41+xR3avVKXF9PjA4hEU/o7hhN+Roc6MzX+wCYKqyA/kn41Z7fzOxDNycm6kv/J6x8AAAD//wMA&#10;UEsBAi0AFAAGAAgAAAAhALaDOJL+AAAA4QEAABMAAAAAAAAAAAAAAAAAAAAAAFtDb250ZW50X1R5&#10;cGVzXS54bWxQSwECLQAUAAYACAAAACEAOP0h/9YAAACUAQAACwAAAAAAAAAAAAAAAAAvAQAAX3Jl&#10;bHMvLnJlbHNQSwECLQAUAAYACAAAACEA6E864MABAADeAwAADgAAAAAAAAAAAAAAAAAuAgAAZHJz&#10;L2Uyb0RvYy54bWxQSwECLQAUAAYACAAAACEAfuABQtgAAAABAQAADwAAAAAAAAAAAAAAAAAaBAAA&#10;ZHJzL2Rvd25yZXYueG1sUEsFBgAAAAAEAAQA8wAAAB8FAAAAAA==&#10;" strokecolor="#7030a0" strokeweight="4.25pt">
                <v:stroke joinstyle="miter"/>
                <w10:anchorlock/>
              </v:line>
            </w:pict>
          </mc:Fallback>
        </mc:AlternateContent>
      </w:r>
    </w:p>
    <w:p w14:paraId="0FBDFCB3" w14:textId="5D1CDA68" w:rsidR="004C6F70" w:rsidRPr="00D80D28" w:rsidRDefault="004C6F70" w:rsidP="004C6F70">
      <w:pPr>
        <w:pStyle w:val="Heading1"/>
        <w:rPr>
          <w:b/>
          <w:bCs w:val="0"/>
        </w:rPr>
      </w:pPr>
      <w:r w:rsidRPr="00D80D28">
        <w:rPr>
          <w:b/>
          <w:bCs w:val="0"/>
        </w:rPr>
        <w:t>Harrow Rapid</w:t>
      </w:r>
      <w:r>
        <w:rPr>
          <w:b/>
          <w:bCs w:val="0"/>
        </w:rPr>
        <w:t>/Ultra Rapid</w:t>
      </w:r>
      <w:r w:rsidRPr="00D80D28">
        <w:rPr>
          <w:b/>
          <w:bCs w:val="0"/>
        </w:rPr>
        <w:t xml:space="preserve"> </w:t>
      </w:r>
      <w:proofErr w:type="spellStart"/>
      <w:r w:rsidRPr="00D80D28">
        <w:rPr>
          <w:b/>
          <w:bCs w:val="0"/>
        </w:rPr>
        <w:t>Chargepoint</w:t>
      </w:r>
      <w:proofErr w:type="spellEnd"/>
      <w:r w:rsidRPr="00D80D28">
        <w:rPr>
          <w:b/>
          <w:bCs w:val="0"/>
        </w:rPr>
        <w:t xml:space="preserve"> Procurement – </w:t>
      </w:r>
      <w:r w:rsidR="00B95AFC">
        <w:rPr>
          <w:b/>
          <w:bCs w:val="0"/>
        </w:rPr>
        <w:t xml:space="preserve">Evaluation Methodology and KPI’s </w:t>
      </w:r>
    </w:p>
    <w:p w14:paraId="5F171DA9" w14:textId="77777777" w:rsidR="004C6F70" w:rsidRPr="00A00B50" w:rsidRDefault="004C6F70" w:rsidP="00B95AFC">
      <w:pPr>
        <w:pStyle w:val="Heading3"/>
        <w:numPr>
          <w:ilvl w:val="0"/>
          <w:numId w:val="0"/>
        </w:numPr>
        <w:rPr>
          <w:rFonts w:ascii="Arial" w:hAnsi="Arial" w:cs="Arial"/>
          <w:color w:val="auto"/>
        </w:rPr>
      </w:pPr>
      <w:r w:rsidRPr="00A00B50">
        <w:rPr>
          <w:rFonts w:ascii="Arial" w:hAnsi="Arial" w:cs="Arial"/>
          <w:color w:val="auto"/>
        </w:rPr>
        <w:t xml:space="preserve">Key Performance Indicators </w:t>
      </w:r>
    </w:p>
    <w:p w14:paraId="14D9CBD1" w14:textId="77777777" w:rsidR="004C6F70" w:rsidRPr="00A00B50" w:rsidRDefault="004C6F70" w:rsidP="004C6F70">
      <w:pPr>
        <w:rPr>
          <w:rFonts w:ascii="Arial" w:hAnsi="Arial" w:cs="Arial"/>
        </w:rPr>
      </w:pPr>
      <w:r w:rsidRPr="00A00B50">
        <w:rPr>
          <w:rFonts w:ascii="Arial" w:hAnsi="Arial" w:cs="Arial"/>
        </w:rPr>
        <w:t>The Operator’s licence to provide EV charging services will be subject to their compliance with key performance indicators to be set by LBH.  Such KPI will generally include:</w:t>
      </w:r>
    </w:p>
    <w:p w14:paraId="026CC83A" w14:textId="77777777" w:rsidR="004C6F70" w:rsidRPr="00A00B50" w:rsidRDefault="004C6F70" w:rsidP="004C6F70">
      <w:pPr>
        <w:pStyle w:val="ListBullet"/>
        <w:rPr>
          <w:rFonts w:ascii="Arial" w:hAnsi="Arial" w:cs="Arial"/>
          <w:color w:val="auto"/>
        </w:rPr>
      </w:pPr>
      <w:r w:rsidRPr="00A00B50">
        <w:rPr>
          <w:rFonts w:ascii="Arial" w:hAnsi="Arial" w:cs="Arial"/>
          <w:color w:val="auto"/>
        </w:rPr>
        <w:t>Compliance with the agreed installation schedule</w:t>
      </w:r>
    </w:p>
    <w:p w14:paraId="224A0E7F" w14:textId="77777777" w:rsidR="004C6F70" w:rsidRPr="00A00B50" w:rsidRDefault="004C6F70" w:rsidP="004C6F70">
      <w:pPr>
        <w:pStyle w:val="ListBullet"/>
        <w:rPr>
          <w:rFonts w:ascii="Arial" w:hAnsi="Arial" w:cs="Arial"/>
          <w:color w:val="auto"/>
        </w:rPr>
      </w:pPr>
      <w:r w:rsidRPr="00A00B50">
        <w:rPr>
          <w:rFonts w:ascii="Arial" w:hAnsi="Arial" w:cs="Arial"/>
          <w:color w:val="auto"/>
        </w:rPr>
        <w:t xml:space="preserve">Charging station uptime 99% on Rapids (as per the regulations) </w:t>
      </w:r>
    </w:p>
    <w:p w14:paraId="0E1AE52D" w14:textId="77777777" w:rsidR="004C6F70" w:rsidRPr="00A00B50" w:rsidRDefault="004C6F70" w:rsidP="004C6F70">
      <w:pPr>
        <w:pStyle w:val="ListBullet"/>
        <w:rPr>
          <w:rFonts w:ascii="Arial" w:hAnsi="Arial" w:cs="Arial"/>
          <w:color w:val="auto"/>
        </w:rPr>
      </w:pPr>
      <w:r w:rsidRPr="00A00B50">
        <w:rPr>
          <w:rFonts w:ascii="Arial" w:hAnsi="Arial" w:cs="Arial"/>
          <w:color w:val="auto"/>
        </w:rPr>
        <w:t>Service and maintenance in line with defined service standards - real-time status updates to customers and a 24-hour phone line with maximum wait time of 10 minutes</w:t>
      </w:r>
    </w:p>
    <w:p w14:paraId="38D69AF5" w14:textId="77777777" w:rsidR="004C6F70" w:rsidRPr="00A00B50" w:rsidRDefault="004C6F70" w:rsidP="004C6F70">
      <w:pPr>
        <w:pStyle w:val="ListBullet"/>
        <w:rPr>
          <w:rFonts w:ascii="Arial" w:hAnsi="Arial" w:cs="Arial"/>
          <w:color w:val="auto"/>
        </w:rPr>
      </w:pPr>
      <w:r w:rsidRPr="00A00B50">
        <w:rPr>
          <w:rFonts w:ascii="Arial" w:hAnsi="Arial" w:cs="Arial"/>
          <w:color w:val="auto"/>
        </w:rPr>
        <w:t>Resolution of device faults within specified parameters</w:t>
      </w:r>
    </w:p>
    <w:p w14:paraId="1C0377E8" w14:textId="77777777" w:rsidR="004C6F70" w:rsidRPr="00A00B50" w:rsidRDefault="004C6F70" w:rsidP="004C6F70">
      <w:pPr>
        <w:pStyle w:val="ListBullet"/>
        <w:rPr>
          <w:rFonts w:ascii="Arial" w:hAnsi="Arial" w:cs="Arial"/>
          <w:color w:val="auto"/>
        </w:rPr>
      </w:pPr>
      <w:r w:rsidRPr="00A00B50">
        <w:rPr>
          <w:rFonts w:ascii="Arial" w:hAnsi="Arial" w:cs="Arial"/>
          <w:color w:val="auto"/>
        </w:rPr>
        <w:t xml:space="preserve">Maintenance of tariffs within guidelines and </w:t>
      </w:r>
    </w:p>
    <w:p w14:paraId="4C1BBD06" w14:textId="77777777" w:rsidR="004C6F70" w:rsidRPr="00A00B50" w:rsidRDefault="004C6F70" w:rsidP="004C6F70">
      <w:pPr>
        <w:pStyle w:val="ListBullet"/>
        <w:rPr>
          <w:rFonts w:ascii="Arial" w:hAnsi="Arial" w:cs="Arial"/>
          <w:color w:val="auto"/>
        </w:rPr>
      </w:pPr>
      <w:r w:rsidRPr="00A00B50">
        <w:rPr>
          <w:rFonts w:ascii="Arial" w:hAnsi="Arial" w:cs="Arial"/>
          <w:color w:val="auto"/>
        </w:rPr>
        <w:t>Other issues.</w:t>
      </w:r>
    </w:p>
    <w:p w14:paraId="5F2F5C6E" w14:textId="77777777" w:rsidR="004C6F70" w:rsidRPr="00A00B50" w:rsidRDefault="004C6F70" w:rsidP="004C6F70">
      <w:pPr>
        <w:rPr>
          <w:rFonts w:ascii="Arial" w:hAnsi="Arial" w:cs="Arial"/>
        </w:rPr>
      </w:pPr>
      <w:r w:rsidRPr="00A00B50">
        <w:rPr>
          <w:rFonts w:ascii="Arial" w:hAnsi="Arial" w:cs="Arial"/>
        </w:rPr>
        <w:t>Quarterly performance meetings will be held, and the contract will be scored on an annual basis.  Performance against these KPIs will be monitored and used to inform a decision on the continued performance of the Operator and contract extension.</w:t>
      </w:r>
    </w:p>
    <w:p w14:paraId="798B547C" w14:textId="480D1487" w:rsidR="00F70470" w:rsidRPr="00A00B50" w:rsidRDefault="00F70470">
      <w:pPr>
        <w:rPr>
          <w:rFonts w:ascii="Arial" w:hAnsi="Arial" w:cs="Arial"/>
        </w:rPr>
      </w:pPr>
    </w:p>
    <w:p w14:paraId="2E9B3883" w14:textId="720C608C" w:rsidR="00A00B50" w:rsidRPr="00A00B50" w:rsidRDefault="00A00B50" w:rsidP="00A00B5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b/>
          <w:bCs/>
          <w:sz w:val="22"/>
          <w:szCs w:val="22"/>
        </w:rPr>
      </w:pPr>
      <w:r w:rsidRPr="00A00B50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Tender Evaluation Approach</w:t>
      </w:r>
      <w:r w:rsidRPr="00A00B50">
        <w:rPr>
          <w:rStyle w:val="eop"/>
          <w:rFonts w:ascii="Arial" w:eastAsiaTheme="majorEastAsia" w:hAnsi="Arial" w:cs="Arial"/>
          <w:b/>
          <w:bCs/>
          <w:sz w:val="22"/>
          <w:szCs w:val="22"/>
        </w:rPr>
        <w:t> </w:t>
      </w:r>
    </w:p>
    <w:p w14:paraId="5FE0C1BC" w14:textId="77777777" w:rsidR="00A00B50" w:rsidRPr="00A00B50" w:rsidRDefault="00A00B50" w:rsidP="00A00B5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3D3D89A" w14:textId="77777777" w:rsidR="00A00B50" w:rsidRPr="00A00B50" w:rsidRDefault="00A00B50" w:rsidP="00A00B5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00B50">
        <w:rPr>
          <w:rStyle w:val="normaltextrun"/>
          <w:rFonts w:ascii="Arial" w:eastAsiaTheme="majorEastAsia" w:hAnsi="Arial" w:cs="Arial"/>
          <w:sz w:val="22"/>
          <w:szCs w:val="22"/>
        </w:rPr>
        <w:t xml:space="preserve">Any Contract awarded </w:t>
      </w:r>
      <w:proofErr w:type="gramStart"/>
      <w:r w:rsidRPr="00A00B50">
        <w:rPr>
          <w:rStyle w:val="normaltextrun"/>
          <w:rFonts w:ascii="Arial" w:eastAsiaTheme="majorEastAsia" w:hAnsi="Arial" w:cs="Arial"/>
          <w:sz w:val="22"/>
          <w:szCs w:val="22"/>
        </w:rPr>
        <w:t>as a result of</w:t>
      </w:r>
      <w:proofErr w:type="gramEnd"/>
      <w:r w:rsidRPr="00A00B50">
        <w:rPr>
          <w:rStyle w:val="normaltextrun"/>
          <w:rFonts w:ascii="Arial" w:eastAsiaTheme="majorEastAsia" w:hAnsi="Arial" w:cs="Arial"/>
          <w:sz w:val="22"/>
          <w:szCs w:val="22"/>
        </w:rPr>
        <w:t xml:space="preserve"> this procurement will be awarded on the basis of value for money, quality, capacity to deliver and the extent it addresses identified need. </w:t>
      </w:r>
      <w:r w:rsidRPr="00A00B50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1294BB6" w14:textId="0DBA71A2" w:rsidR="00A00B50" w:rsidRDefault="00A00B50" w:rsidP="00A00B5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  <w:r w:rsidRPr="00A00B50">
        <w:rPr>
          <w:rStyle w:val="normaltextrun"/>
          <w:rFonts w:ascii="Arial" w:eastAsiaTheme="majorEastAsia" w:hAnsi="Arial" w:cs="Arial"/>
          <w:sz w:val="22"/>
          <w:szCs w:val="22"/>
        </w:rPr>
        <w:t xml:space="preserve">Tenderers are required to submit a Tender strictly in accordance with the requirements set out in this document to ensure Harrow has the correct information to make the evaluation. Evasive, </w:t>
      </w:r>
      <w:proofErr w:type="gramStart"/>
      <w:r w:rsidRPr="00A00B50">
        <w:rPr>
          <w:rStyle w:val="normaltextrun"/>
          <w:rFonts w:ascii="Arial" w:eastAsiaTheme="majorEastAsia" w:hAnsi="Arial" w:cs="Arial"/>
          <w:sz w:val="22"/>
          <w:szCs w:val="22"/>
        </w:rPr>
        <w:t>unclear</w:t>
      </w:r>
      <w:proofErr w:type="gramEnd"/>
      <w:r w:rsidRPr="00A00B50">
        <w:rPr>
          <w:rStyle w:val="normaltextrun"/>
          <w:rFonts w:ascii="Arial" w:eastAsiaTheme="majorEastAsia" w:hAnsi="Arial" w:cs="Arial"/>
          <w:sz w:val="22"/>
          <w:szCs w:val="22"/>
        </w:rPr>
        <w:t xml:space="preserve"> or hedged Tenders may be discounted in evaluation and may, at the Council's discretion, be taken as a rejection by the Tenderer of the terms set out in document. The evaluation criteria and the maximum scores attributable to each question is set out below. </w:t>
      </w:r>
      <w:r w:rsidRPr="00A00B50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4A601C8" w14:textId="77777777" w:rsidR="00A00B50" w:rsidRPr="00A00B50" w:rsidRDefault="00A00B50" w:rsidP="00A00B5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84A4EB2" w14:textId="77777777" w:rsidR="00A00B50" w:rsidRPr="00A00B50" w:rsidRDefault="00A00B50" w:rsidP="00A00B50">
      <w:pPr>
        <w:pStyle w:val="paragraph"/>
        <w:numPr>
          <w:ilvl w:val="0"/>
          <w:numId w:val="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00B50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Procurement Evaluation Criteria</w:t>
      </w:r>
      <w:r w:rsidRPr="00A00B50">
        <w:rPr>
          <w:rStyle w:val="eop"/>
          <w:rFonts w:ascii="Arial" w:eastAsiaTheme="majorEastAsia" w:hAnsi="Arial" w:cs="Arial"/>
          <w:b/>
          <w:bCs/>
          <w:sz w:val="22"/>
          <w:szCs w:val="22"/>
        </w:rPr>
        <w:t> </w:t>
      </w:r>
    </w:p>
    <w:p w14:paraId="05B9EABE" w14:textId="77777777" w:rsidR="00A00B50" w:rsidRPr="00A00B50" w:rsidRDefault="00A00B50" w:rsidP="00A00B5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00B50">
        <w:rPr>
          <w:rStyle w:val="normaltextrun"/>
          <w:rFonts w:ascii="Arial" w:eastAsiaTheme="majorEastAsia" w:hAnsi="Arial" w:cs="Arial"/>
          <w:sz w:val="22"/>
          <w:szCs w:val="22"/>
        </w:rPr>
        <w:t>The weighting for this tender is as follows:</w:t>
      </w:r>
      <w:r w:rsidRPr="00A00B50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86F39F7" w14:textId="77777777" w:rsidR="00A00B50" w:rsidRPr="00A00B50" w:rsidRDefault="00A00B50" w:rsidP="00A00B50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 w:rsidRPr="00A00B50">
        <w:rPr>
          <w:rStyle w:val="normaltextrun"/>
          <w:rFonts w:ascii="Arial" w:eastAsiaTheme="majorEastAsia" w:hAnsi="Arial" w:cs="Arial"/>
          <w:sz w:val="22"/>
          <w:szCs w:val="22"/>
        </w:rPr>
        <w:t>Quality: 40%</w:t>
      </w:r>
      <w:r w:rsidRPr="00A00B50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E0F8262" w14:textId="77777777" w:rsidR="00A00B50" w:rsidRPr="00A00B50" w:rsidRDefault="00A00B50" w:rsidP="00A00B50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 w:rsidRPr="00A00B50">
        <w:rPr>
          <w:rStyle w:val="normaltextrun"/>
          <w:rFonts w:ascii="Arial" w:eastAsiaTheme="majorEastAsia" w:hAnsi="Arial" w:cs="Arial"/>
          <w:sz w:val="22"/>
          <w:szCs w:val="22"/>
        </w:rPr>
        <w:t>Social Value: 10% </w:t>
      </w:r>
      <w:r w:rsidRPr="00A00B50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409D8A5" w14:textId="77777777" w:rsidR="00A00B50" w:rsidRPr="00A00B50" w:rsidRDefault="00A00B50" w:rsidP="00A00B50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 w:rsidRPr="00A00B50">
        <w:rPr>
          <w:rStyle w:val="normaltextrun"/>
          <w:rFonts w:ascii="Arial" w:eastAsiaTheme="majorEastAsia" w:hAnsi="Arial" w:cs="Arial"/>
          <w:sz w:val="22"/>
          <w:szCs w:val="22"/>
        </w:rPr>
        <w:t>Commercial Response: 50%</w:t>
      </w:r>
      <w:r w:rsidRPr="00A00B50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8D95A9B" w14:textId="77777777" w:rsidR="00B95AFC" w:rsidRPr="00A00B50" w:rsidRDefault="00B95AFC">
      <w:pPr>
        <w:rPr>
          <w:rFonts w:ascii="Arial" w:hAnsi="Arial" w:cs="Arial"/>
        </w:rPr>
      </w:pPr>
    </w:p>
    <w:sectPr w:rsidR="00B95AFC" w:rsidRPr="00A00B50" w:rsidSect="00600EC2">
      <w:footerReference w:type="default" r:id="rId8"/>
      <w:headerReference w:type="first" r:id="rId9"/>
      <w:footerReference w:type="first" r:id="rId10"/>
      <w:pgSz w:w="11906" w:h="16838" w:code="9"/>
      <w:pgMar w:top="851" w:right="1191" w:bottom="1701" w:left="119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FDDE" w14:textId="77777777" w:rsidR="004C6F70" w:rsidRDefault="004C6F70" w:rsidP="004C6F70">
      <w:r>
        <w:separator/>
      </w:r>
    </w:p>
  </w:endnote>
  <w:endnote w:type="continuationSeparator" w:id="0">
    <w:p w14:paraId="6AF7D4B0" w14:textId="77777777" w:rsidR="004C6F70" w:rsidRDefault="004C6F70" w:rsidP="004C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2"/>
      <w:gridCol w:w="4762"/>
    </w:tblGrid>
    <w:tr w:rsidR="00E0461A" w:rsidRPr="00600EC2" w14:paraId="330DF2D5" w14:textId="77777777" w:rsidTr="003F0126">
      <w:tc>
        <w:tcPr>
          <w:tcW w:w="4762" w:type="dxa"/>
          <w:vAlign w:val="bottom"/>
        </w:tcPr>
        <w:p w14:paraId="6C4E3F12" w14:textId="77777777" w:rsidR="00E0461A" w:rsidRPr="00600EC2" w:rsidRDefault="00A00B50" w:rsidP="00600EC2">
          <w:pPr>
            <w:pStyle w:val="Footer"/>
            <w:rPr>
              <w:szCs w:val="16"/>
              <w:lang w:val="en-US"/>
            </w:rPr>
          </w:pPr>
          <w:r w:rsidRPr="00600EC2">
            <w:rPr>
              <w:szCs w:val="16"/>
              <w:lang w:val="en-US"/>
            </w:rPr>
            <w:fldChar w:fldCharType="begin"/>
          </w:r>
          <w:r w:rsidRPr="00600EC2">
            <w:rPr>
              <w:szCs w:val="16"/>
              <w:lang w:val="en-US"/>
            </w:rPr>
            <w:instrText xml:space="preserve"> page </w:instrText>
          </w:r>
          <w:r w:rsidRPr="00600EC2">
            <w:rPr>
              <w:szCs w:val="16"/>
              <w:lang w:val="en-US"/>
            </w:rPr>
            <w:fldChar w:fldCharType="separate"/>
          </w:r>
          <w:r>
            <w:rPr>
              <w:noProof/>
              <w:szCs w:val="16"/>
              <w:lang w:val="en-US"/>
            </w:rPr>
            <w:t>2</w:t>
          </w:r>
          <w:r w:rsidRPr="00600EC2">
            <w:rPr>
              <w:szCs w:val="16"/>
              <w:lang w:val="en-US"/>
            </w:rPr>
            <w:fldChar w:fldCharType="end"/>
          </w:r>
          <w:r w:rsidRPr="00600EC2">
            <w:rPr>
              <w:szCs w:val="16"/>
              <w:lang w:val="en-US"/>
            </w:rPr>
            <w:t xml:space="preserve"> </w:t>
          </w:r>
          <w:r>
            <w:rPr>
              <w:szCs w:val="16"/>
              <w:lang w:val="en-US"/>
            </w:rPr>
            <w:t>of</w:t>
          </w:r>
          <w:r w:rsidRPr="00600EC2">
            <w:rPr>
              <w:szCs w:val="16"/>
              <w:lang w:val="en-US"/>
            </w:rPr>
            <w:t xml:space="preserve"> </w:t>
          </w:r>
          <w:r w:rsidRPr="00600EC2">
            <w:rPr>
              <w:szCs w:val="16"/>
              <w:lang w:val="en-US"/>
            </w:rPr>
            <w:fldChar w:fldCharType="begin"/>
          </w:r>
          <w:r w:rsidRPr="00600EC2">
            <w:rPr>
              <w:szCs w:val="16"/>
              <w:lang w:val="en-US"/>
            </w:rPr>
            <w:instrText xml:space="preserve"> numpages </w:instrText>
          </w:r>
          <w:r w:rsidRPr="00600EC2">
            <w:rPr>
              <w:szCs w:val="16"/>
              <w:lang w:val="en-US"/>
            </w:rPr>
            <w:fldChar w:fldCharType="separate"/>
          </w:r>
          <w:r>
            <w:rPr>
              <w:noProof/>
              <w:szCs w:val="16"/>
              <w:lang w:val="en-US"/>
            </w:rPr>
            <w:t>2</w:t>
          </w:r>
          <w:r w:rsidRPr="00600EC2">
            <w:rPr>
              <w:szCs w:val="16"/>
              <w:lang w:val="en-US"/>
            </w:rPr>
            <w:fldChar w:fldCharType="end"/>
          </w:r>
        </w:p>
        <w:sdt>
          <w:sdtPr>
            <w:rPr>
              <w:sz w:val="16"/>
              <w:szCs w:val="16"/>
            </w:rPr>
            <w:alias w:val="Office web"/>
            <w:tag w:val="Office web"/>
            <w:id w:val="2008097726"/>
            <w:dataBinding w:xpath="/root[1]/web[1]" w:storeItemID="{9CBE3AE1-11AE-4FE5-B899-A6D0F3075D5A}"/>
            <w:text/>
          </w:sdtPr>
          <w:sdtEndPr/>
          <w:sdtContent>
            <w:p w14:paraId="10D67FCA" w14:textId="77777777" w:rsidR="00E0461A" w:rsidRPr="00600EC2" w:rsidRDefault="00A00B50" w:rsidP="00600EC2">
              <w:pPr>
                <w:spacing w:line="200" w:lineRule="atLeas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www.steergroup.com</w:t>
              </w:r>
            </w:p>
          </w:sdtContent>
        </w:sdt>
      </w:tc>
      <w:tc>
        <w:tcPr>
          <w:tcW w:w="4762" w:type="dxa"/>
          <w:vAlign w:val="bottom"/>
        </w:tcPr>
        <w:p w14:paraId="0FF131BE" w14:textId="77777777" w:rsidR="00E0461A" w:rsidRPr="00600EC2" w:rsidRDefault="00A00B50" w:rsidP="00600EC2">
          <w:pPr>
            <w:spacing w:line="200" w:lineRule="atLeast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3CDBD2E" wp14:editId="26DF4190">
                <wp:extent cx="540000" cy="17902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eer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179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29A0AF" w14:textId="77777777" w:rsidR="00E0461A" w:rsidRPr="0034761B" w:rsidRDefault="00A00B50" w:rsidP="001C4CF0">
    <w:pPr>
      <w:pStyle w:val="Footer"/>
      <w:spacing w:line="20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3"/>
      <w:gridCol w:w="5261"/>
      <w:gridCol w:w="2835"/>
    </w:tblGrid>
    <w:tr w:rsidR="00E0461A" w:rsidRPr="00600EC2" w14:paraId="492B11DD" w14:textId="77777777" w:rsidTr="003F0126">
      <w:tc>
        <w:tcPr>
          <w:tcW w:w="1423" w:type="dxa"/>
          <w:vAlign w:val="bottom"/>
        </w:tcPr>
        <w:p w14:paraId="4DF8ADD5" w14:textId="77777777" w:rsidR="00E0461A" w:rsidRPr="00600EC2" w:rsidRDefault="00A00B50" w:rsidP="00600EC2">
          <w:pPr>
            <w:pStyle w:val="Footer"/>
            <w:rPr>
              <w:szCs w:val="16"/>
              <w:lang w:val="en-US"/>
            </w:rPr>
          </w:pPr>
          <w:r w:rsidRPr="00600EC2">
            <w:rPr>
              <w:szCs w:val="16"/>
              <w:lang w:val="en-US"/>
            </w:rPr>
            <w:fldChar w:fldCharType="begin"/>
          </w:r>
          <w:r w:rsidRPr="00600EC2">
            <w:rPr>
              <w:szCs w:val="16"/>
              <w:lang w:val="en-US"/>
            </w:rPr>
            <w:instrText xml:space="preserve"> page </w:instrText>
          </w:r>
          <w:r w:rsidRPr="00600EC2">
            <w:rPr>
              <w:szCs w:val="16"/>
              <w:lang w:val="en-US"/>
            </w:rPr>
            <w:fldChar w:fldCharType="separate"/>
          </w:r>
          <w:r>
            <w:rPr>
              <w:noProof/>
              <w:szCs w:val="16"/>
              <w:lang w:val="en-US"/>
            </w:rPr>
            <w:t>1</w:t>
          </w:r>
          <w:r w:rsidRPr="00600EC2">
            <w:rPr>
              <w:szCs w:val="16"/>
              <w:lang w:val="en-US"/>
            </w:rPr>
            <w:fldChar w:fldCharType="end"/>
          </w:r>
          <w:r w:rsidRPr="00600EC2">
            <w:rPr>
              <w:szCs w:val="16"/>
              <w:lang w:val="en-US"/>
            </w:rPr>
            <w:t xml:space="preserve"> </w:t>
          </w:r>
          <w:r>
            <w:rPr>
              <w:szCs w:val="16"/>
              <w:lang w:val="en-US"/>
            </w:rPr>
            <w:t>of</w:t>
          </w:r>
          <w:r w:rsidRPr="00600EC2">
            <w:rPr>
              <w:szCs w:val="16"/>
              <w:lang w:val="en-US"/>
            </w:rPr>
            <w:t xml:space="preserve"> </w:t>
          </w:r>
          <w:r w:rsidRPr="00600EC2">
            <w:rPr>
              <w:szCs w:val="16"/>
              <w:lang w:val="en-US"/>
            </w:rPr>
            <w:fldChar w:fldCharType="begin"/>
          </w:r>
          <w:r w:rsidRPr="00600EC2">
            <w:rPr>
              <w:szCs w:val="16"/>
              <w:lang w:val="en-US"/>
            </w:rPr>
            <w:instrText xml:space="preserve"> numpages </w:instrText>
          </w:r>
          <w:r w:rsidRPr="00600EC2">
            <w:rPr>
              <w:szCs w:val="16"/>
              <w:lang w:val="en-US"/>
            </w:rPr>
            <w:fldChar w:fldCharType="separate"/>
          </w:r>
          <w:r>
            <w:rPr>
              <w:noProof/>
              <w:szCs w:val="16"/>
              <w:lang w:val="en-US"/>
            </w:rPr>
            <w:t>1</w:t>
          </w:r>
          <w:r w:rsidRPr="00600EC2">
            <w:rPr>
              <w:szCs w:val="16"/>
              <w:lang w:val="en-US"/>
            </w:rPr>
            <w:fldChar w:fldCharType="end"/>
          </w:r>
        </w:p>
        <w:sdt>
          <w:sdtPr>
            <w:rPr>
              <w:sz w:val="16"/>
              <w:szCs w:val="16"/>
            </w:rPr>
            <w:alias w:val="Office web"/>
            <w:tag w:val="Office web"/>
            <w:id w:val="-233251071"/>
            <w:dataBinding w:xpath="/root[1]/web[1]" w:storeItemID="{9CBE3AE1-11AE-4FE5-B899-A6D0F3075D5A}"/>
            <w:text/>
          </w:sdtPr>
          <w:sdtEndPr/>
          <w:sdtContent>
            <w:p w14:paraId="583197FF" w14:textId="77777777" w:rsidR="00E0461A" w:rsidRPr="00600EC2" w:rsidRDefault="00A00B50" w:rsidP="00600EC2">
              <w:pPr>
                <w:spacing w:line="200" w:lineRule="atLeas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www.steergroup.com</w:t>
              </w:r>
            </w:p>
          </w:sdtContent>
        </w:sdt>
      </w:tc>
      <w:tc>
        <w:tcPr>
          <w:tcW w:w="5261" w:type="dxa"/>
          <w:vAlign w:val="bottom"/>
        </w:tcPr>
        <w:p w14:paraId="01A106C1" w14:textId="77777777" w:rsidR="00E0461A" w:rsidRPr="00083D73" w:rsidRDefault="00A00B50" w:rsidP="00083D73">
          <w:pPr>
            <w:rPr>
              <w:sz w:val="12"/>
              <w:szCs w:val="16"/>
            </w:rPr>
          </w:pPr>
        </w:p>
      </w:tc>
      <w:tc>
        <w:tcPr>
          <w:tcW w:w="2835" w:type="dxa"/>
          <w:vAlign w:val="bottom"/>
        </w:tcPr>
        <w:p w14:paraId="198CC9EC" w14:textId="77777777" w:rsidR="00E0461A" w:rsidRPr="00600EC2" w:rsidRDefault="00A00B50" w:rsidP="00600EC2">
          <w:pPr>
            <w:spacing w:line="200" w:lineRule="atLeast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DE2FF76" wp14:editId="686F3D03">
                <wp:extent cx="1080000" cy="358052"/>
                <wp:effectExtent l="0" t="0" r="635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eer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58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593A4B" w14:textId="77777777" w:rsidR="00E0461A" w:rsidRPr="0034761B" w:rsidRDefault="00A00B50" w:rsidP="00600EC2">
    <w:pPr>
      <w:spacing w:line="20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8183" w14:textId="77777777" w:rsidR="004C6F70" w:rsidRDefault="004C6F70" w:rsidP="004C6F70">
      <w:r>
        <w:separator/>
      </w:r>
    </w:p>
  </w:footnote>
  <w:footnote w:type="continuationSeparator" w:id="0">
    <w:p w14:paraId="06481769" w14:textId="77777777" w:rsidR="004C6F70" w:rsidRDefault="004C6F70" w:rsidP="004C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390E" w14:textId="77777777" w:rsidR="00E0461A" w:rsidRPr="003D49DC" w:rsidRDefault="00A00B50" w:rsidP="00600EC2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434"/>
    <w:multiLevelType w:val="multilevel"/>
    <w:tmpl w:val="3D2C3FEA"/>
    <w:lvl w:ilvl="0">
      <w:start w:val="1"/>
      <w:numFmt w:val="decimal"/>
      <w:pStyle w:val="Heading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ormal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78B02D9"/>
    <w:multiLevelType w:val="multilevel"/>
    <w:tmpl w:val="ED26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9F27DD"/>
    <w:multiLevelType w:val="multilevel"/>
    <w:tmpl w:val="576ADAE2"/>
    <w:name w:val="SDG Headings"/>
    <w:lvl w:ilvl="0">
      <w:start w:val="1"/>
      <w:numFmt w:val="decimal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Restart w:val="1"/>
      <w:lvlText w:val="%4."/>
      <w:lvlJc w:val="left"/>
      <w:pPr>
        <w:ind w:left="0" w:hanging="567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D70F7A"/>
    <w:multiLevelType w:val="multilevel"/>
    <w:tmpl w:val="7A988A02"/>
    <w:styleLink w:val="SDG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94" w:hanging="397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191" w:hanging="397"/>
      </w:pPr>
      <w:rPr>
        <w:rFonts w:ascii="Symbol" w:hAnsi="Symbol" w:hint="default"/>
        <w:color w:val="E7E6E6" w:themeColor="background2"/>
      </w:rPr>
    </w:lvl>
    <w:lvl w:ilvl="3">
      <w:start w:val="1"/>
      <w:numFmt w:val="bullet"/>
      <w:lvlText w:val="‟"/>
      <w:lvlJc w:val="left"/>
      <w:pPr>
        <w:ind w:left="170" w:hanging="170"/>
      </w:pPr>
      <w:rPr>
        <w:rFonts w:ascii="Calibri" w:hAnsi="Calibri" w:hint="default"/>
        <w:color w:val="44546A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5653045F"/>
    <w:multiLevelType w:val="multilevel"/>
    <w:tmpl w:val="9BD6F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54520"/>
    <w:multiLevelType w:val="multilevel"/>
    <w:tmpl w:val="6366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534AE"/>
    <w:multiLevelType w:val="multilevel"/>
    <w:tmpl w:val="620CD65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E7E6E6" w:themeColor="background2"/>
      </w:rPr>
    </w:lvl>
    <w:lvl w:ilvl="3">
      <w:start w:val="1"/>
      <w:numFmt w:val="bullet"/>
      <w:lvlText w:val="‟"/>
      <w:lvlJc w:val="left"/>
      <w:pPr>
        <w:ind w:left="170" w:hanging="170"/>
      </w:pPr>
      <w:rPr>
        <w:rFonts w:ascii="Calibri" w:hAnsi="Calibri" w:hint="default"/>
        <w:color w:val="44546A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num w:numId="1" w16cid:durableId="2100367732">
    <w:abstractNumId w:val="3"/>
  </w:num>
  <w:num w:numId="2" w16cid:durableId="1125389130">
    <w:abstractNumId w:val="2"/>
  </w:num>
  <w:num w:numId="3" w16cid:durableId="912664016">
    <w:abstractNumId w:val="0"/>
  </w:num>
  <w:num w:numId="4" w16cid:durableId="1302223699">
    <w:abstractNumId w:val="6"/>
  </w:num>
  <w:num w:numId="5" w16cid:durableId="1931111220">
    <w:abstractNumId w:val="4"/>
  </w:num>
  <w:num w:numId="6" w16cid:durableId="1856767008">
    <w:abstractNumId w:val="5"/>
  </w:num>
  <w:num w:numId="7" w16cid:durableId="155284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70"/>
    <w:rsid w:val="004C6F70"/>
    <w:rsid w:val="00A00B50"/>
    <w:rsid w:val="00B95AFC"/>
    <w:rsid w:val="00F7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09E6"/>
  <w15:chartTrackingRefBased/>
  <w15:docId w15:val="{A4990AB4-1D1B-4441-991E-8E5478B4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70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next w:val="Heading2"/>
    <w:link w:val="Heading1Char"/>
    <w:uiPriority w:val="3"/>
    <w:qFormat/>
    <w:rsid w:val="004C6F70"/>
    <w:pPr>
      <w:keepNext/>
      <w:keepLines/>
      <w:spacing w:before="140" w:after="280" w:line="360" w:lineRule="exact"/>
      <w:outlineLvl w:val="0"/>
    </w:pPr>
    <w:rPr>
      <w:rFonts w:asciiTheme="majorHAnsi" w:eastAsiaTheme="majorEastAsia" w:hAnsiTheme="majorHAnsi" w:cstheme="majorBidi"/>
      <w:bCs/>
      <w:color w:val="000000" w:themeColor="text1"/>
      <w:sz w:val="36"/>
      <w:szCs w:val="28"/>
    </w:rPr>
  </w:style>
  <w:style w:type="paragraph" w:styleId="Heading2">
    <w:name w:val="heading 2"/>
    <w:next w:val="NormalNumbered"/>
    <w:link w:val="Heading2Char"/>
    <w:uiPriority w:val="4"/>
    <w:unhideWhenUsed/>
    <w:qFormat/>
    <w:rsid w:val="004C6F70"/>
    <w:pPr>
      <w:keepNext/>
      <w:keepLines/>
      <w:numPr>
        <w:numId w:val="3"/>
      </w:numPr>
      <w:spacing w:before="140" w:after="140" w:line="280" w:lineRule="exact"/>
      <w:ind w:left="0" w:hanging="851"/>
      <w:outlineLvl w:val="1"/>
    </w:pPr>
    <w:rPr>
      <w:rFonts w:asciiTheme="majorHAnsi" w:eastAsiaTheme="majorEastAsia" w:hAnsiTheme="majorHAnsi" w:cstheme="majorBidi"/>
      <w:b/>
      <w:bCs/>
      <w:color w:val="7030A0"/>
      <w:sz w:val="28"/>
      <w:szCs w:val="26"/>
    </w:rPr>
  </w:style>
  <w:style w:type="paragraph" w:styleId="Heading3">
    <w:name w:val="heading 3"/>
    <w:next w:val="NormalNumbered"/>
    <w:link w:val="Heading3Char"/>
    <w:uiPriority w:val="5"/>
    <w:qFormat/>
    <w:rsid w:val="004C6F70"/>
    <w:pPr>
      <w:keepNext/>
      <w:keepLines/>
      <w:numPr>
        <w:ilvl w:val="1"/>
        <w:numId w:val="3"/>
      </w:numPr>
      <w:spacing w:before="140" w:after="140" w:line="280" w:lineRule="exact"/>
      <w:ind w:left="0" w:hanging="851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rsid w:val="004C6F70"/>
    <w:pPr>
      <w:keepNext/>
      <w:keepLines/>
      <w:numPr>
        <w:ilvl w:val="4"/>
        <w:numId w:val="3"/>
      </w:numPr>
      <w:spacing w:before="200" w:line="280" w:lineRule="atLeast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rsid w:val="004C6F70"/>
    <w:pPr>
      <w:keepNext/>
      <w:keepLines/>
      <w:numPr>
        <w:ilvl w:val="5"/>
        <w:numId w:val="3"/>
      </w:numPr>
      <w:spacing w:before="200" w:line="280" w:lineRule="atLeas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rsid w:val="004C6F70"/>
    <w:pPr>
      <w:keepNext/>
      <w:keepLines/>
      <w:numPr>
        <w:ilvl w:val="6"/>
        <w:numId w:val="3"/>
      </w:numPr>
      <w:spacing w:before="200" w:line="280" w:lineRule="atLeast"/>
      <w:outlineLvl w:val="6"/>
    </w:pPr>
    <w:rPr>
      <w:rFonts w:asciiTheme="majorHAnsi" w:eastAsiaTheme="majorEastAsia" w:hAnsiTheme="majorHAnsi" w:cstheme="majorBidi"/>
      <w:i/>
      <w:iCs/>
      <w:color w:val="000000" w:themeColor="text1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rsid w:val="004C6F70"/>
    <w:pPr>
      <w:keepNext/>
      <w:keepLines/>
      <w:numPr>
        <w:ilvl w:val="7"/>
        <w:numId w:val="3"/>
      </w:numPr>
      <w:spacing w:before="200" w:line="280" w:lineRule="atLeast"/>
      <w:outlineLvl w:val="7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rsid w:val="004C6F70"/>
    <w:pPr>
      <w:keepNext/>
      <w:keepLines/>
      <w:numPr>
        <w:ilvl w:val="8"/>
        <w:numId w:val="3"/>
      </w:numPr>
      <w:spacing w:before="200" w:line="280" w:lineRule="atLeast"/>
      <w:outlineLvl w:val="8"/>
    </w:pPr>
    <w:rPr>
      <w:rFonts w:asciiTheme="majorHAnsi" w:eastAsiaTheme="majorEastAsia" w:hAnsiTheme="majorHAnsi" w:cstheme="majorBidi"/>
      <w:i/>
      <w:iCs/>
      <w:color w:val="000000" w:themeColor="tex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C6F70"/>
    <w:rPr>
      <w:rFonts w:asciiTheme="majorHAnsi" w:eastAsiaTheme="majorEastAsia" w:hAnsiTheme="majorHAnsi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4C6F70"/>
    <w:rPr>
      <w:rFonts w:asciiTheme="majorHAnsi" w:eastAsiaTheme="majorEastAsia" w:hAnsiTheme="majorHAnsi" w:cstheme="majorBidi"/>
      <w:b/>
      <w:bCs/>
      <w:color w:val="7030A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C6F7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4C6F7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4C6F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4C6F7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semiHidden/>
    <w:rsid w:val="004C6F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4C6F70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aption">
    <w:name w:val="caption"/>
    <w:next w:val="Normal"/>
    <w:uiPriority w:val="14"/>
    <w:unhideWhenUsed/>
    <w:qFormat/>
    <w:rsid w:val="004C6F70"/>
    <w:pPr>
      <w:keepNext/>
      <w:tabs>
        <w:tab w:val="left" w:pos="1134"/>
      </w:tabs>
      <w:spacing w:before="140" w:after="140" w:line="220" w:lineRule="atLeast"/>
    </w:pPr>
    <w:rPr>
      <w:b/>
      <w:bCs/>
      <w:color w:val="000000" w:themeColor="text1"/>
      <w:sz w:val="18"/>
      <w:szCs w:val="18"/>
    </w:rPr>
  </w:style>
  <w:style w:type="paragraph" w:styleId="Footer">
    <w:name w:val="footer"/>
    <w:link w:val="FooterChar"/>
    <w:uiPriority w:val="99"/>
    <w:unhideWhenUsed/>
    <w:rsid w:val="004C6F70"/>
    <w:pPr>
      <w:spacing w:after="0" w:line="200" w:lineRule="atLeast"/>
    </w:pPr>
    <w:rPr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C6F70"/>
    <w:rPr>
      <w:color w:val="000000" w:themeColor="text1"/>
      <w:sz w:val="16"/>
    </w:rPr>
  </w:style>
  <w:style w:type="paragraph" w:styleId="Header">
    <w:name w:val="header"/>
    <w:link w:val="HeaderChar"/>
    <w:uiPriority w:val="99"/>
    <w:unhideWhenUsed/>
    <w:rsid w:val="004C6F70"/>
    <w:pPr>
      <w:tabs>
        <w:tab w:val="center" w:pos="4513"/>
        <w:tab w:val="right" w:pos="9026"/>
      </w:tabs>
      <w:spacing w:before="140" w:after="140" w:line="200" w:lineRule="atLeast"/>
    </w:pPr>
    <w:rPr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C6F70"/>
    <w:rPr>
      <w:color w:val="000000" w:themeColor="text1"/>
      <w:sz w:val="16"/>
    </w:rPr>
  </w:style>
  <w:style w:type="paragraph" w:styleId="ListBullet">
    <w:name w:val="List Bullet"/>
    <w:uiPriority w:val="8"/>
    <w:unhideWhenUsed/>
    <w:qFormat/>
    <w:rsid w:val="004C6F70"/>
    <w:pPr>
      <w:numPr>
        <w:numId w:val="4"/>
      </w:numPr>
      <w:spacing w:after="0" w:line="280" w:lineRule="atLeast"/>
      <w:contextualSpacing/>
    </w:pPr>
    <w:rPr>
      <w:color w:val="000000" w:themeColor="text1"/>
    </w:rPr>
  </w:style>
  <w:style w:type="paragraph" w:styleId="ListBullet2">
    <w:name w:val="List Bullet 2"/>
    <w:uiPriority w:val="9"/>
    <w:unhideWhenUsed/>
    <w:qFormat/>
    <w:rsid w:val="004C6F70"/>
    <w:pPr>
      <w:numPr>
        <w:ilvl w:val="1"/>
        <w:numId w:val="1"/>
      </w:numPr>
      <w:spacing w:after="0" w:line="280" w:lineRule="atLeast"/>
      <w:contextualSpacing/>
    </w:pPr>
    <w:rPr>
      <w:color w:val="000000" w:themeColor="text1"/>
    </w:rPr>
  </w:style>
  <w:style w:type="paragraph" w:styleId="ListBullet3">
    <w:name w:val="List Bullet 3"/>
    <w:uiPriority w:val="10"/>
    <w:unhideWhenUsed/>
    <w:qFormat/>
    <w:rsid w:val="004C6F70"/>
    <w:pPr>
      <w:numPr>
        <w:ilvl w:val="2"/>
        <w:numId w:val="1"/>
      </w:numPr>
      <w:spacing w:after="0" w:line="280" w:lineRule="atLeast"/>
      <w:contextualSpacing/>
    </w:pPr>
    <w:rPr>
      <w:color w:val="000000" w:themeColor="text1"/>
    </w:rPr>
  </w:style>
  <w:style w:type="numbering" w:customStyle="1" w:styleId="SDGBullets">
    <w:name w:val="SDG Bullets"/>
    <w:uiPriority w:val="99"/>
    <w:semiHidden/>
    <w:rsid w:val="004C6F70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4C6F7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F70"/>
    <w:pPr>
      <w:spacing w:before="140"/>
    </w:pPr>
    <w:rPr>
      <w:rFonts w:asciiTheme="minorHAnsi" w:hAnsiTheme="minorHAnsi" w:cstheme="minorBidi"/>
      <w:color w:val="000000" w:themeColor="text1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F70"/>
    <w:rPr>
      <w:color w:val="000000" w:themeColor="text1"/>
    </w:rPr>
  </w:style>
  <w:style w:type="paragraph" w:customStyle="1" w:styleId="SDGtoptable">
    <w:name w:val="SDG top table"/>
    <w:semiHidden/>
    <w:rsid w:val="004C6F70"/>
    <w:pPr>
      <w:spacing w:after="140" w:line="280" w:lineRule="exact"/>
    </w:pPr>
    <w:rPr>
      <w:rFonts w:ascii="Trebuchet MS" w:eastAsia="Times New Roman" w:hAnsi="Trebuchet MS" w:cs="Times New Roman"/>
      <w:color w:val="000000" w:themeColor="text1"/>
      <w:szCs w:val="24"/>
    </w:rPr>
  </w:style>
  <w:style w:type="table" w:customStyle="1" w:styleId="SteerTableDefault">
    <w:name w:val="Steer Table Default"/>
    <w:basedOn w:val="TableNormal"/>
    <w:uiPriority w:val="17"/>
    <w:rsid w:val="004C6F70"/>
    <w:pPr>
      <w:spacing w:after="0" w:line="240" w:lineRule="atLeast"/>
    </w:pPr>
    <w:rPr>
      <w:color w:val="000000"/>
      <w:sz w:val="2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2" w:space="0" w:color="4472C4" w:themeColor="accent1"/>
        <w:insideV w:val="single" w:sz="2" w:space="0" w:color="4472C4" w:themeColor="accent1"/>
      </w:tblBorders>
      <w:tblCellMar>
        <w:top w:w="43" w:type="dxa"/>
        <w:bottom w:w="4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nil"/>
          <w:right w:val="single" w:sz="4" w:space="0" w:color="4472C4" w:themeColor="accent1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44546A" w:themeFill="text2"/>
      </w:tcPr>
    </w:tblStylePr>
    <w:tblStylePr w:type="lastRow">
      <w:tblPr/>
      <w:tcPr>
        <w:tcBorders>
          <w:top w:val="single" w:sz="18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single" w:sz="2" w:space="0" w:color="4472C4" w:themeColor="accent1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8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2" w:space="0" w:color="4472C4" w:themeColor="accent1"/>
          <w:left w:val="single" w:sz="2" w:space="0" w:color="4472C4" w:themeColor="accent1"/>
          <w:bottom w:val="single" w:sz="2" w:space="0" w:color="4472C4" w:themeColor="accent1"/>
          <w:right w:val="single" w:sz="2" w:space="0" w:color="4472C4" w:themeColor="accent1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left w:val="single" w:sz="18" w:space="0" w:color="4472C4" w:themeColor="accent1"/>
        </w:tcBorders>
      </w:tcPr>
    </w:tblStylePr>
  </w:style>
  <w:style w:type="paragraph" w:customStyle="1" w:styleId="Source">
    <w:name w:val="Source"/>
    <w:next w:val="Normal"/>
    <w:uiPriority w:val="15"/>
    <w:qFormat/>
    <w:rsid w:val="004C6F70"/>
    <w:pPr>
      <w:spacing w:before="140" w:after="280" w:line="220" w:lineRule="atLeast"/>
    </w:pPr>
    <w:rPr>
      <w:color w:val="000000" w:themeColor="text1"/>
      <w:sz w:val="18"/>
    </w:rPr>
  </w:style>
  <w:style w:type="paragraph" w:customStyle="1" w:styleId="NormalNumbered">
    <w:name w:val="Normal Numbered"/>
    <w:uiPriority w:val="7"/>
    <w:qFormat/>
    <w:rsid w:val="004C6F70"/>
    <w:pPr>
      <w:numPr>
        <w:ilvl w:val="2"/>
        <w:numId w:val="3"/>
      </w:numPr>
      <w:spacing w:before="140" w:after="140" w:line="280" w:lineRule="atLeast"/>
      <w:ind w:left="0" w:hanging="851"/>
    </w:pPr>
    <w:rPr>
      <w:color w:val="000000" w:themeColor="text1"/>
    </w:rPr>
  </w:style>
  <w:style w:type="paragraph" w:customStyle="1" w:styleId="Rulespace">
    <w:name w:val="Rule space"/>
    <w:basedOn w:val="Normal"/>
    <w:next w:val="Normal"/>
    <w:uiPriority w:val="1"/>
    <w:semiHidden/>
    <w:rsid w:val="004C6F70"/>
    <w:pPr>
      <w:spacing w:before="140" w:after="280" w:line="280" w:lineRule="atLeast"/>
    </w:pPr>
    <w:rPr>
      <w:rFonts w:asciiTheme="minorHAnsi" w:hAnsiTheme="minorHAnsi" w:cstheme="minorBidi"/>
      <w:color w:val="000000" w:themeColor="text1"/>
      <w:lang w:eastAsia="en-US"/>
    </w:rPr>
  </w:style>
  <w:style w:type="paragraph" w:customStyle="1" w:styleId="paragraph">
    <w:name w:val="paragraph"/>
    <w:basedOn w:val="Normal"/>
    <w:rsid w:val="00A00B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0B50"/>
  </w:style>
  <w:style w:type="character" w:customStyle="1" w:styleId="eop">
    <w:name w:val="eop"/>
    <w:basedOn w:val="DefaultParagraphFont"/>
    <w:rsid w:val="00A0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Harrow Rapid/Ultra Rapid Chargepoint Procurement – Evaluation Methodology and KP</vt:lpstr>
      <vt:lpstr>        Key Performance Indicators 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Durgacharan5</dc:creator>
  <cp:keywords/>
  <dc:description/>
  <cp:lastModifiedBy>Nisha Durgacharan5</cp:lastModifiedBy>
  <cp:revision>2</cp:revision>
  <dcterms:created xsi:type="dcterms:W3CDTF">2024-01-29T12:05:00Z</dcterms:created>
  <dcterms:modified xsi:type="dcterms:W3CDTF">2024-01-29T12:20:00Z</dcterms:modified>
</cp:coreProperties>
</file>